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val="0"/>
        <w:spacing w:before="0" w:after="0" w:line="560" w:lineRule="atLeast"/>
        <w:ind w:right="0"/>
        <w:jc w:val="both"/>
        <w:textAlignment w:val="baseline"/>
        <w:rPr>
          <w:rFonts w:hint="eastAsia" w:ascii="仿宋" w:hAnsi="仿宋" w:eastAsia="仿宋" w:cs="仿宋"/>
          <w:b w:val="0"/>
          <w:i w:val="0"/>
          <w:color w:val="000000"/>
          <w:spacing w:val="0"/>
          <w:sz w:val="29"/>
          <w:lang w:eastAsia="zh-CN"/>
        </w:rPr>
      </w:pPr>
      <w:r>
        <w:rPr>
          <w:rFonts w:ascii="仿宋" w:hAnsi="仿宋" w:eastAsia="仿宋" w:cs="仿宋"/>
          <w:b w:val="0"/>
          <w:i w:val="0"/>
          <w:color w:val="000000"/>
          <w:spacing w:val="0"/>
          <w:sz w:val="29"/>
        </w:rPr>
        <w:t>附1</w:t>
      </w:r>
      <w:r>
        <w:rPr>
          <w:rFonts w:hint="eastAsia" w:ascii="仿宋" w:hAnsi="仿宋" w:eastAsia="仿宋" w:cs="仿宋"/>
          <w:b w:val="0"/>
          <w:i w:val="0"/>
          <w:color w:val="000000"/>
          <w:spacing w:val="0"/>
          <w:sz w:val="29"/>
          <w:lang w:eastAsia="zh-CN"/>
        </w:rPr>
        <w:t>：</w:t>
      </w:r>
    </w:p>
    <w:p>
      <w:pPr>
        <w:pageBreakBefore w:val="0"/>
        <w:wordWrap w:val="0"/>
        <w:spacing w:before="140" w:after="0" w:line="460" w:lineRule="atLeast"/>
        <w:ind w:left="0" w:right="0"/>
        <w:jc w:val="center"/>
        <w:textAlignment w:val="baseline"/>
        <w:rPr>
          <w:sz w:val="33"/>
        </w:rPr>
      </w:pPr>
      <w:r>
        <w:rPr>
          <w:rFonts w:ascii="宋体" w:hAnsi="宋体" w:eastAsia="宋体" w:cs="宋体"/>
          <w:b w:val="0"/>
          <w:i w:val="0"/>
          <w:color w:val="000000"/>
          <w:spacing w:val="0"/>
          <w:sz w:val="33"/>
        </w:rPr>
        <w:t>市级猪肉储备活体承储企业资质条件</w:t>
      </w:r>
    </w:p>
    <w:p>
      <w:pPr>
        <w:pageBreakBefore w:val="0"/>
        <w:wordWrap w:val="0"/>
        <w:spacing w:before="0" w:after="0" w:line="560" w:lineRule="exact"/>
        <w:ind w:left="0" w:right="0"/>
        <w:jc w:val="center"/>
        <w:textAlignment w:val="baseline"/>
        <w:rPr>
          <w:sz w:val="29"/>
        </w:rPr>
      </w:pPr>
    </w:p>
    <w:p>
      <w:pPr>
        <w:pageBreakBefore w:val="0"/>
        <w:wordWrap w:val="0"/>
        <w:spacing w:before="0" w:after="0" w:line="560" w:lineRule="atLeast"/>
        <w:ind w:left="640" w:right="0"/>
        <w:jc w:val="both"/>
        <w:textAlignment w:val="baseline"/>
        <w:rPr>
          <w:sz w:val="29"/>
        </w:rPr>
      </w:pPr>
      <w:r>
        <w:rPr>
          <w:rFonts w:ascii="仿宋" w:hAnsi="仿宋" w:eastAsia="仿宋" w:cs="仿宋"/>
          <w:b w:val="0"/>
          <w:i w:val="0"/>
          <w:color w:val="000000"/>
          <w:spacing w:val="0"/>
          <w:sz w:val="29"/>
        </w:rPr>
        <w:t>市级猪肉储备活体承储企业资质条件规定如下：</w:t>
      </w:r>
    </w:p>
    <w:p>
      <w:pPr>
        <w:pageBreakBefore w:val="0"/>
        <w:wordWrap w:val="0"/>
        <w:spacing w:before="0" w:after="0" w:line="560" w:lineRule="atLeast"/>
        <w:ind w:left="640" w:right="0"/>
        <w:jc w:val="both"/>
        <w:textAlignment w:val="baseline"/>
        <w:rPr>
          <w:sz w:val="29"/>
        </w:rPr>
      </w:pPr>
      <w:r>
        <w:rPr>
          <w:rFonts w:ascii="黑体" w:hAnsi="黑体" w:eastAsia="黑体" w:cs="黑体"/>
          <w:b w:val="0"/>
          <w:i w:val="0"/>
          <w:color w:val="000000"/>
          <w:spacing w:val="0"/>
          <w:sz w:val="29"/>
        </w:rPr>
        <w:t>一、市级猪肉储备活体储备承储企业资质条件</w:t>
      </w:r>
    </w:p>
    <w:p>
      <w:pPr>
        <w:pageBreakBefore w:val="0"/>
        <w:wordWrap w:val="0"/>
        <w:spacing w:before="0" w:after="0" w:line="560" w:lineRule="atLeast"/>
        <w:ind w:left="640" w:right="0"/>
        <w:jc w:val="both"/>
        <w:textAlignment w:val="baseline"/>
        <w:rPr>
          <w:sz w:val="29"/>
        </w:rPr>
      </w:pPr>
      <w:r>
        <w:rPr>
          <w:rFonts w:ascii="仿宋" w:hAnsi="仿宋" w:eastAsia="仿宋" w:cs="仿宋"/>
          <w:b w:val="0"/>
          <w:i w:val="0"/>
          <w:color w:val="000000"/>
          <w:spacing w:val="0"/>
          <w:sz w:val="29"/>
        </w:rPr>
        <w:t>1.具有独立法人资格。</w:t>
      </w:r>
    </w:p>
    <w:p>
      <w:pPr>
        <w:pageBreakBefore w:val="0"/>
        <w:wordWrap w:val="0"/>
        <w:spacing w:before="0" w:after="0" w:line="560" w:lineRule="atLeast"/>
        <w:ind w:left="0" w:right="0" w:firstLine="640"/>
        <w:jc w:val="both"/>
        <w:textAlignment w:val="baseline"/>
        <w:rPr>
          <w:sz w:val="29"/>
        </w:rPr>
      </w:pPr>
      <w:r>
        <w:rPr>
          <w:rFonts w:ascii="仿宋" w:hAnsi="仿宋" w:eastAsia="仿宋" w:cs="仿宋"/>
          <w:b w:val="0"/>
          <w:i w:val="0"/>
          <w:color w:val="000000"/>
          <w:spacing w:val="0"/>
          <w:sz w:val="29"/>
        </w:rPr>
        <w:t>2.具有A级以上的银行资信，能够提供银行信誉担保或其他担保方式。</w:t>
      </w:r>
    </w:p>
    <w:p>
      <w:pPr>
        <w:pageBreakBefore w:val="0"/>
        <w:wordWrap w:val="0"/>
        <w:spacing w:before="0" w:after="0" w:line="560" w:lineRule="atLeast"/>
        <w:ind w:left="640" w:right="0"/>
        <w:jc w:val="both"/>
        <w:textAlignment w:val="baseline"/>
        <w:rPr>
          <w:sz w:val="29"/>
        </w:rPr>
      </w:pPr>
      <w:r>
        <w:rPr>
          <w:rFonts w:ascii="仿宋" w:hAnsi="仿宋" w:eastAsia="仿宋" w:cs="仿宋"/>
          <w:b w:val="0"/>
          <w:i w:val="0"/>
          <w:color w:val="000000"/>
          <w:spacing w:val="0"/>
          <w:sz w:val="29"/>
        </w:rPr>
        <w:t>3.有组织、管理基础场的能力，有稳定的销售网络。</w:t>
      </w:r>
    </w:p>
    <w:p>
      <w:pPr>
        <w:pageBreakBefore w:val="0"/>
        <w:wordWrap w:val="0"/>
        <w:spacing w:before="0" w:after="0" w:line="560" w:lineRule="atLeast"/>
        <w:ind w:left="0" w:right="0" w:firstLine="640"/>
        <w:jc w:val="both"/>
        <w:textAlignment w:val="baseline"/>
        <w:rPr>
          <w:sz w:val="29"/>
        </w:rPr>
      </w:pPr>
      <w:r>
        <w:rPr>
          <w:rFonts w:ascii="仿宋" w:hAnsi="仿宋" w:eastAsia="仿宋" w:cs="仿宋"/>
          <w:b w:val="0"/>
          <w:i w:val="0"/>
          <w:color w:val="000000"/>
          <w:spacing w:val="0"/>
          <w:sz w:val="29"/>
        </w:rPr>
        <w:t>4.财务状况良好，具有较好的商业信誉、较强的抗风险能力和健全的财务管理制度。资产负债率低于70%，没有故意或恶意拖欠的诉讼记录。</w:t>
      </w:r>
    </w:p>
    <w:p>
      <w:pPr>
        <w:pageBreakBefore w:val="0"/>
        <w:wordWrap w:val="0"/>
        <w:spacing w:before="0" w:after="0" w:line="560" w:lineRule="atLeast"/>
        <w:ind w:left="640" w:right="0"/>
        <w:jc w:val="both"/>
        <w:textAlignment w:val="baseline"/>
        <w:rPr>
          <w:sz w:val="29"/>
        </w:rPr>
      </w:pPr>
      <w:r>
        <w:rPr>
          <w:rFonts w:ascii="仿宋" w:hAnsi="仿宋" w:eastAsia="仿宋" w:cs="仿宋"/>
          <w:b w:val="0"/>
          <w:i w:val="0"/>
          <w:color w:val="000000"/>
          <w:spacing w:val="0"/>
          <w:sz w:val="29"/>
        </w:rPr>
        <w:t>5.近三年内无违法违规行为或重大食品安全事故记录。</w:t>
      </w:r>
    </w:p>
    <w:p>
      <w:pPr>
        <w:pageBreakBefore w:val="0"/>
        <w:wordWrap w:val="0"/>
        <w:spacing w:before="0" w:after="0" w:line="560" w:lineRule="atLeast"/>
        <w:ind w:left="0" w:right="0" w:firstLine="640"/>
        <w:jc w:val="both"/>
        <w:textAlignment w:val="baseline"/>
        <w:rPr>
          <w:sz w:val="29"/>
        </w:rPr>
      </w:pPr>
      <w:r>
        <w:rPr>
          <w:rFonts w:ascii="仿宋" w:hAnsi="仿宋" w:eastAsia="仿宋" w:cs="仿宋"/>
          <w:b w:val="0"/>
          <w:i w:val="0"/>
          <w:color w:val="000000"/>
          <w:spacing w:val="0"/>
          <w:sz w:val="29"/>
        </w:rPr>
        <w:t>6.能够承担市级猪肉储备活体储备安全责任及肉类市场、储备管理等相关信息报送工作。</w:t>
      </w:r>
    </w:p>
    <w:p>
      <w:pPr>
        <w:pageBreakBefore w:val="0"/>
        <w:wordWrap w:val="0"/>
        <w:spacing w:before="0" w:after="0" w:line="560" w:lineRule="atLeast"/>
        <w:ind w:left="640" w:right="0"/>
        <w:jc w:val="both"/>
        <w:textAlignment w:val="baseline"/>
        <w:rPr>
          <w:sz w:val="29"/>
        </w:rPr>
      </w:pPr>
      <w:r>
        <w:rPr>
          <w:rFonts w:ascii="黑体" w:hAnsi="黑体" w:eastAsia="黑体" w:cs="黑体"/>
          <w:b w:val="0"/>
          <w:i w:val="0"/>
          <w:color w:val="000000"/>
          <w:spacing w:val="0"/>
          <w:sz w:val="29"/>
        </w:rPr>
        <w:t>二、基础设施建设的要求</w:t>
      </w:r>
    </w:p>
    <w:p>
      <w:pPr>
        <w:pageBreakBefore w:val="0"/>
        <w:wordWrap w:val="0"/>
        <w:spacing w:before="0" w:after="0" w:line="560" w:lineRule="atLeast"/>
        <w:ind w:left="0" w:right="20" w:firstLine="740"/>
        <w:jc w:val="both"/>
        <w:textAlignment w:val="baseline"/>
        <w:rPr>
          <w:sz w:val="29"/>
        </w:rPr>
      </w:pPr>
      <w:r>
        <w:rPr>
          <w:rFonts w:ascii="仿宋" w:hAnsi="仿宋" w:eastAsia="仿宋" w:cs="仿宋"/>
          <w:b w:val="0"/>
          <w:i w:val="0"/>
          <w:color w:val="000000"/>
          <w:spacing w:val="0"/>
          <w:sz w:val="29"/>
        </w:rPr>
        <w:t>(一)选址。选址应符合当地土地利用规划和动物防疫要求，交通便利、水质良好、水源充足、地势较高、干燥、排水良好，无有害气体及其他污染的地区，应远离交通要道和公共场所，场区布局合理，猪舍坚固耐用，周围应有围墙或</w:t>
      </w:r>
      <w:bookmarkStart w:id="0" w:name="_GoBack"/>
      <w:bookmarkEnd w:id="0"/>
      <w:r>
        <w:rPr>
          <w:rFonts w:ascii="仿宋" w:hAnsi="仿宋" w:eastAsia="仿宋" w:cs="仿宋"/>
          <w:b w:val="0"/>
          <w:i w:val="0"/>
          <w:color w:val="000000"/>
          <w:spacing w:val="0"/>
          <w:sz w:val="29"/>
        </w:rPr>
        <w:t>其他有效屏障。</w:t>
      </w:r>
    </w:p>
    <w:p>
      <w:pPr>
        <w:pageBreakBefore w:val="0"/>
        <w:wordWrap w:val="0"/>
        <w:spacing w:before="0" w:after="0" w:line="560" w:lineRule="atLeast"/>
        <w:ind w:left="0" w:right="0" w:firstLine="740"/>
        <w:jc w:val="both"/>
        <w:textAlignment w:val="baseline"/>
        <w:rPr>
          <w:sz w:val="29"/>
        </w:rPr>
        <w:sectPr>
          <w:headerReference r:id="rId3" w:type="default"/>
          <w:footerReference r:id="rId4" w:type="default"/>
          <w:pgSz w:w="11900" w:h="16820"/>
          <w:pgMar w:top="1420" w:right="1780" w:bottom="1420" w:left="1780" w:header="0" w:footer="1120" w:gutter="0"/>
          <w:pgNumType w:fmt="decimal"/>
          <w:cols w:space="720" w:num="1"/>
        </w:sectPr>
      </w:pPr>
      <w:r>
        <w:rPr>
          <w:rFonts w:ascii="仿宋" w:hAnsi="仿宋" w:eastAsia="仿宋" w:cs="仿宋"/>
          <w:b w:val="0"/>
          <w:i w:val="0"/>
          <w:color w:val="000000"/>
          <w:spacing w:val="0"/>
          <w:sz w:val="29"/>
        </w:rPr>
        <w:t>(二)规模。承储企业的能繁母猪存栏数量在300头以上，后备母猪存栏不得低于 30头，常年存栏量应在3000头以上，育肥猪不得低于常年存栏量的40%。</w:t>
      </w:r>
    </w:p>
    <w:p>
      <w:pPr>
        <w:pageBreakBefore w:val="0"/>
        <w:wordWrap w:val="0"/>
        <w:spacing w:before="600" w:after="0" w:line="560" w:lineRule="atLeast"/>
        <w:ind w:left="0" w:right="0" w:firstLine="740"/>
        <w:jc w:val="both"/>
        <w:textAlignment w:val="baseline"/>
        <w:rPr>
          <w:sz w:val="29"/>
        </w:rPr>
      </w:pPr>
      <w:r>
        <w:rPr>
          <w:rFonts w:ascii="仿宋" w:hAnsi="仿宋" w:eastAsia="仿宋" w:cs="仿宋"/>
          <w:b w:val="0"/>
          <w:i w:val="0"/>
          <w:color w:val="000000"/>
          <w:spacing w:val="0"/>
          <w:sz w:val="29"/>
        </w:rPr>
        <w:t>(三)布局。应执行生产区、管理区和粪污与病死畜无害化处理区分开的原则。活畜和物资运转应采取单一流向，净道和污道严格分开，防止交叉污染，按照活猪生长阶段进行猪舍工艺设计；圈舍布局符合实行分段饲养方式及全进全出的要求；生产区在管理区的下风或侧风向处，粪污处理区、病死畜无害化处理区、病畜隔离舍和活畜引种隔离舍应在生产区的下风向或侧风向处。</w:t>
      </w:r>
    </w:p>
    <w:p>
      <w:pPr>
        <w:pageBreakBefore w:val="0"/>
        <w:wordWrap w:val="0"/>
        <w:spacing w:before="0" w:after="0" w:line="560" w:lineRule="atLeast"/>
        <w:ind w:left="0" w:right="0" w:firstLine="740"/>
        <w:jc w:val="both"/>
        <w:textAlignment w:val="baseline"/>
        <w:rPr>
          <w:sz w:val="29"/>
        </w:rPr>
      </w:pPr>
      <w:r>
        <w:rPr>
          <w:rFonts w:ascii="仿宋" w:hAnsi="仿宋" w:eastAsia="仿宋" w:cs="仿宋"/>
          <w:b w:val="0"/>
          <w:i w:val="0"/>
          <w:color w:val="000000"/>
          <w:spacing w:val="0"/>
          <w:sz w:val="29"/>
        </w:rPr>
        <w:t>(四)设施。应备有清洗消毒设施，配备病畜隔离、污物和病死畜无害化处理设施和设备。应建有更衣室、消毒室、兽医室、病畜隔离舍和活畜引种隔离舍；圈舍的地面、墙壁和设施应便于清洗和消毒，给排水通畅，通风良好。大门入口处应设有与大门同宽、长度不小于进场大型机动车车轮一周半长的水泥结构的消毒池。畜舍入口处应设有消毒设施。</w:t>
      </w:r>
    </w:p>
    <w:p>
      <w:pPr>
        <w:pageBreakBefore w:val="0"/>
        <w:wordWrap w:val="0"/>
        <w:spacing w:before="180" w:after="0" w:line="420" w:lineRule="atLeast"/>
        <w:ind w:left="600" w:right="0"/>
        <w:jc w:val="both"/>
        <w:textAlignment w:val="baseline"/>
        <w:rPr>
          <w:sz w:val="30"/>
        </w:rPr>
      </w:pPr>
      <w:r>
        <w:rPr>
          <w:rFonts w:ascii="黑体" w:hAnsi="黑体" w:eastAsia="黑体" w:cs="黑体"/>
          <w:b w:val="0"/>
          <w:i w:val="0"/>
          <w:color w:val="000000"/>
          <w:spacing w:val="0"/>
          <w:sz w:val="30"/>
        </w:rPr>
        <w:t>三、承储企业防疫的要求</w:t>
      </w:r>
    </w:p>
    <w:p>
      <w:pPr>
        <w:pageBreakBefore w:val="0"/>
        <w:wordWrap w:val="0"/>
        <w:spacing w:before="0" w:after="0" w:line="560" w:lineRule="atLeast"/>
        <w:ind w:left="0" w:right="0" w:firstLine="740"/>
        <w:jc w:val="both"/>
        <w:textAlignment w:val="baseline"/>
        <w:rPr>
          <w:sz w:val="29"/>
        </w:rPr>
      </w:pPr>
      <w:r>
        <w:rPr>
          <w:rFonts w:ascii="仿宋" w:hAnsi="仿宋" w:eastAsia="仿宋" w:cs="仿宋"/>
          <w:b w:val="0"/>
          <w:i w:val="0"/>
          <w:color w:val="000000"/>
          <w:spacing w:val="0"/>
          <w:sz w:val="29"/>
        </w:rPr>
        <w:t>(一)人员。兽医人员必须持有有效资质证明，即学历证或专业技术职称证。工作人员应定期体检，生产工作人员进入生产区时须更衣换鞋、洗手消毒，工作服须定期清洗消毒。非生产工作人员不允许进入生产区，如有特殊情况，须遵守场内防疫制度。为防止疫病传播，工作人员不得兼职于其他养殖场，兽医人员不准对外诊疗动物疾病，配种人员不准对外开展活畜的配种工作，饲养人员各负其责严禁相互串栋。</w:t>
      </w:r>
    </w:p>
    <w:p>
      <w:pPr>
        <w:pageBreakBefore w:val="0"/>
        <w:wordWrap w:val="0"/>
        <w:spacing w:before="0" w:after="0" w:line="560" w:lineRule="atLeast"/>
        <w:ind w:left="0" w:right="20" w:firstLine="740"/>
        <w:jc w:val="both"/>
        <w:textAlignment w:val="baseline"/>
        <w:rPr>
          <w:sz w:val="29"/>
        </w:rPr>
      </w:pPr>
      <w:r>
        <w:rPr>
          <w:rFonts w:ascii="仿宋" w:hAnsi="仿宋" w:eastAsia="仿宋" w:cs="仿宋"/>
          <w:b w:val="0"/>
          <w:i w:val="0"/>
          <w:color w:val="000000"/>
          <w:spacing w:val="0"/>
          <w:sz w:val="29"/>
        </w:rPr>
        <w:t>(二)消毒。养殖场要有消毒计划，场地要按计划定期清洁、消毒，确保良好卫生环境并保持记录。圈舍每批活猪调出后应彻底清扫干净，用水冲洗，然后进行喷雾消毒或火焰、熏蒸消毒。应定期对设施、设备和用具进行清洗和消毒并保持记录；运输工具在运输前后均应进行清洗消毒；应定期对活畜进行消毒并保持记录。</w:t>
      </w:r>
    </w:p>
    <w:p>
      <w:pPr>
        <w:pageBreakBefore w:val="0"/>
        <w:wordWrap w:val="0"/>
        <w:spacing w:before="0" w:after="0" w:line="560" w:lineRule="atLeast"/>
        <w:ind w:left="0" w:right="0" w:firstLine="740"/>
        <w:jc w:val="both"/>
        <w:textAlignment w:val="baseline"/>
        <w:rPr>
          <w:sz w:val="29"/>
        </w:rPr>
      </w:pPr>
      <w:r>
        <w:rPr>
          <w:rFonts w:ascii="仿宋" w:hAnsi="仿宋" w:eastAsia="仿宋" w:cs="仿宋"/>
          <w:b w:val="0"/>
          <w:i w:val="0"/>
          <w:color w:val="000000"/>
          <w:spacing w:val="0"/>
          <w:sz w:val="29"/>
        </w:rPr>
        <w:t>(三)引种和引畜。活猪承储企业应采取自繁自养。如需引种，种畜应来自非疫区的具有生产许可证的种畜场，并提供动物防疫监督机构出具的动物产地检疫合格证明、动物及动物产品运载工具消毒证明、非疫区证明和种畜合格证。引进的种猪至少隔离30天以上，经兽医检查确定健康合格后，方可转入生产区。</w:t>
      </w:r>
    </w:p>
    <w:p>
      <w:pPr>
        <w:pageBreakBefore w:val="0"/>
        <w:wordWrap w:val="0"/>
        <w:spacing w:before="0" w:after="0" w:line="560" w:lineRule="atLeast"/>
        <w:ind w:left="0" w:right="0" w:firstLine="740"/>
        <w:jc w:val="both"/>
        <w:textAlignment w:val="baseline"/>
        <w:rPr>
          <w:sz w:val="29"/>
        </w:rPr>
      </w:pPr>
      <w:r>
        <w:rPr>
          <w:rFonts w:ascii="仿宋" w:hAnsi="仿宋" w:eastAsia="仿宋" w:cs="仿宋"/>
          <w:b w:val="0"/>
          <w:i w:val="0"/>
          <w:color w:val="000000"/>
          <w:spacing w:val="0"/>
          <w:sz w:val="29"/>
        </w:rPr>
        <w:t>(四)免疫。根据实际情况制定免疫程序和接种计划，按制定的免疫程序及接种计划实施免疫接种，并保持免疫接种记录。所用疫苗须是国家行政主管部门批准的有资质的生产厂家生产，购进的疫苗应按规定要求保存，不得使用过期疫苗。免疫器械和用具在免疫前后应彻底消毒，如需废弃的按要求处理。养殖场根据具体情况定期进行免疫效果监测。</w:t>
      </w:r>
    </w:p>
    <w:p>
      <w:pPr>
        <w:pageBreakBefore w:val="0"/>
        <w:wordWrap w:val="0"/>
        <w:spacing w:before="0" w:after="0" w:line="560" w:lineRule="atLeast"/>
        <w:ind w:left="0" w:right="0" w:firstLine="580"/>
        <w:jc w:val="both"/>
        <w:textAlignment w:val="baseline"/>
        <w:rPr>
          <w:sz w:val="29"/>
        </w:rPr>
      </w:pPr>
      <w:r>
        <w:rPr>
          <w:rFonts w:ascii="仿宋" w:hAnsi="仿宋" w:eastAsia="仿宋" w:cs="仿宋"/>
          <w:b w:val="0"/>
          <w:i w:val="0"/>
          <w:color w:val="000000"/>
          <w:spacing w:val="0"/>
          <w:sz w:val="29"/>
        </w:rPr>
        <w:t>(五)寄生虫控制。驱虫程序的制定应符合《NY/T 3189-2018猪饲养场兽医卫生规范》的规定。活猪驱虫药物的使用应执行无公害标准，符合《NY 5031-2001 无公害食品 生猪饲养兽医防疫准则》的规定，并保持记录。</w:t>
      </w:r>
    </w:p>
    <w:p>
      <w:pPr>
        <w:pageBreakBefore w:val="0"/>
        <w:wordWrap w:val="0"/>
        <w:spacing w:before="0" w:after="0" w:line="560" w:lineRule="atLeast"/>
        <w:ind w:left="0" w:right="0" w:firstLine="580"/>
        <w:jc w:val="both"/>
        <w:textAlignment w:val="baseline"/>
        <w:rPr>
          <w:sz w:val="29"/>
        </w:rPr>
      </w:pPr>
      <w:r>
        <w:rPr>
          <w:rFonts w:ascii="仿宋" w:hAnsi="仿宋" w:eastAsia="仿宋" w:cs="仿宋"/>
          <w:b w:val="0"/>
          <w:i w:val="0"/>
          <w:color w:val="000000"/>
          <w:spacing w:val="0"/>
          <w:sz w:val="29"/>
        </w:rPr>
        <w:t>(六)病畜的诊断和无害化处理。对可疑病畜应隔离观察、诊断。对因传染病和其他需要处死的可疑病畜，应按《中华人民共和国动物防疫法》、《NY/T 3381-2018 生猪无害化处理操作规范》的规定进行高温、焚化或深埋处理，并保持记录。不得出售病死畜。废弃物处理应符合以下规定：废弃物的处理应遵循减量化、无害化、资源化的原则；粪污须及时进行无害化处理并加以综合利用，处理后的粪污应符合《GB/T 36195-2018 畜禽粪便无害化处理技术规范》的要求，污水的排放应符合《GB18596-2001畜禽养殖业污染物排放标准》的要求，剩余或废弃的疫苗和使用过的疫苗瓶应作无害化处理并保持记录，不得随便丢弃。</w:t>
      </w:r>
    </w:p>
    <w:p>
      <w:pPr>
        <w:pageBreakBefore w:val="0"/>
        <w:wordWrap w:val="0"/>
        <w:spacing w:before="0" w:after="0" w:line="560" w:lineRule="atLeast"/>
        <w:ind w:left="0" w:right="0" w:firstLine="740"/>
        <w:jc w:val="both"/>
        <w:textAlignment w:val="baseline"/>
        <w:rPr>
          <w:sz w:val="29"/>
        </w:rPr>
      </w:pPr>
      <w:r>
        <w:rPr>
          <w:rFonts w:ascii="仿宋" w:hAnsi="仿宋" w:eastAsia="仿宋" w:cs="仿宋"/>
          <w:b w:val="0"/>
          <w:i w:val="0"/>
          <w:color w:val="000000"/>
          <w:spacing w:val="0"/>
          <w:sz w:val="29"/>
        </w:rPr>
        <w:t>(七)兽药。兽药的使用必须是国家批准文号的药物，不得使用国家禁止使用的药物。育肥后期的储备活猪根据所用药物执行休药期，并保持记录。</w:t>
      </w:r>
    </w:p>
    <w:p>
      <w:pPr>
        <w:pageBreakBefore w:val="0"/>
        <w:wordWrap w:val="0"/>
        <w:spacing w:before="0" w:after="0" w:line="560" w:lineRule="atLeast"/>
        <w:ind w:left="0" w:right="0" w:firstLine="740"/>
        <w:jc w:val="both"/>
        <w:textAlignment w:val="baseline"/>
        <w:rPr>
          <w:sz w:val="29"/>
        </w:rPr>
      </w:pPr>
      <w:r>
        <w:rPr>
          <w:rFonts w:ascii="仿宋" w:hAnsi="仿宋" w:eastAsia="仿宋" w:cs="仿宋"/>
          <w:b w:val="0"/>
          <w:i w:val="0"/>
          <w:color w:val="000000"/>
          <w:spacing w:val="0"/>
          <w:sz w:val="29"/>
        </w:rPr>
        <w:t>(八)其它。生产区内不得饲养其他畜禽动物，不得将外购的生鲜、熟制肉类食品带入，外来车辆、动物、人员未经允许不得进入生产区，生产区内车辆和工具不得出承储企业。活畜须具有当地动物防疫监督机构出具的动物产地检疫合格证和运输工具消毒合格证明方可出栏。应使用符合有关规定的专用运输工具运输出栏活畜。</w:t>
      </w:r>
    </w:p>
    <w:p>
      <w:pPr>
        <w:pageBreakBefore w:val="0"/>
        <w:wordWrap w:val="0"/>
        <w:spacing w:before="0" w:after="0" w:line="560" w:lineRule="atLeast"/>
        <w:ind w:left="620" w:right="0"/>
        <w:jc w:val="both"/>
        <w:textAlignment w:val="baseline"/>
        <w:rPr>
          <w:sz w:val="29"/>
        </w:rPr>
      </w:pPr>
      <w:r>
        <w:rPr>
          <w:rFonts w:ascii="黑体" w:hAnsi="黑体" w:eastAsia="黑体" w:cs="黑体"/>
          <w:b w:val="0"/>
          <w:i w:val="0"/>
          <w:color w:val="000000"/>
          <w:spacing w:val="0"/>
          <w:sz w:val="29"/>
        </w:rPr>
        <w:t>四、承储企业饲养管理的要求</w:t>
      </w:r>
    </w:p>
    <w:p>
      <w:pPr>
        <w:pageBreakBefore w:val="0"/>
        <w:wordWrap w:val="0"/>
        <w:spacing w:before="0" w:after="0" w:line="560" w:lineRule="atLeast"/>
        <w:ind w:left="0" w:right="0" w:firstLine="740"/>
        <w:jc w:val="both"/>
        <w:textAlignment w:val="baseline"/>
        <w:rPr>
          <w:sz w:val="29"/>
        </w:rPr>
        <w:sectPr>
          <w:headerReference r:id="rId5" w:type="default"/>
          <w:footerReference r:id="rId6" w:type="default"/>
          <w:pgSz w:w="11900" w:h="16820"/>
          <w:pgMar w:top="1420" w:right="1780" w:bottom="1420" w:left="1780" w:header="0" w:footer="1120" w:gutter="0"/>
          <w:pgNumType w:fmt="decimal"/>
          <w:cols w:space="720" w:num="1"/>
        </w:sectPr>
      </w:pPr>
      <w:r>
        <w:rPr>
          <w:rFonts w:ascii="仿宋" w:hAnsi="仿宋" w:eastAsia="仿宋" w:cs="仿宋"/>
          <w:b w:val="0"/>
          <w:i w:val="0"/>
          <w:color w:val="000000"/>
          <w:spacing w:val="0"/>
          <w:sz w:val="29"/>
        </w:rPr>
        <w:t>(一)饲料。活畜的饲料、添加剂的使用应分别符合《GB13078-2017 饲料卫生标准》、《NY 5032-2006 无公害食品 畜禽饲料和饲料添加剂使用准则》的要求；预混合饲料及全价配合饲料必须注明药物添加剂名称和用量并保持记录；禁止在饲料中添加国家禁止使用的兽药及其化合物；使用含添加限用药物的饲料，在储备活猪出栏前，按有关规定执行休药期并保持记录；禁止饲喂变质、霉变、生虫或被污染的饲料和未经无害化处理的其他畜禽副产品。</w:t>
      </w:r>
    </w:p>
    <w:p>
      <w:pPr>
        <w:pageBreakBefore w:val="0"/>
        <w:wordWrap w:val="0"/>
        <w:spacing w:before="780" w:after="0" w:line="620" w:lineRule="atLeast"/>
        <w:ind w:left="0" w:right="20" w:firstLine="720"/>
        <w:jc w:val="both"/>
        <w:textAlignment w:val="baseline"/>
        <w:rPr>
          <w:sz w:val="29"/>
        </w:rPr>
      </w:pPr>
      <w:r>
        <w:rPr>
          <w:rFonts w:ascii="仿宋" w:hAnsi="仿宋" w:eastAsia="仿宋" w:cs="仿宋"/>
          <w:b w:val="0"/>
          <w:i w:val="0"/>
          <w:color w:val="000000"/>
          <w:spacing w:val="0"/>
          <w:sz w:val="29"/>
        </w:rPr>
        <w:t>(二)饮水。饮用水应符合《NY 5027-2008 无公害食品 畜禽饮用水水质》的规定，应定期清洗消毒饮水设备。</w:t>
      </w:r>
    </w:p>
    <w:p>
      <w:pPr>
        <w:pageBreakBefore w:val="0"/>
        <w:wordWrap w:val="0"/>
        <w:spacing w:before="0" w:after="0" w:line="620" w:lineRule="atLeast"/>
        <w:ind w:left="620" w:right="0"/>
        <w:jc w:val="both"/>
        <w:textAlignment w:val="baseline"/>
        <w:rPr>
          <w:sz w:val="29"/>
        </w:rPr>
      </w:pPr>
      <w:r>
        <w:rPr>
          <w:rFonts w:ascii="黑体" w:hAnsi="黑体" w:eastAsia="黑体" w:cs="黑体"/>
          <w:b w:val="0"/>
          <w:i w:val="0"/>
          <w:color w:val="000000"/>
          <w:spacing w:val="0"/>
          <w:sz w:val="29"/>
        </w:rPr>
        <w:t>五、承储企业信用的要求</w:t>
      </w:r>
    </w:p>
    <w:p>
      <w:pPr>
        <w:pageBreakBefore w:val="0"/>
        <w:wordWrap w:val="0"/>
        <w:spacing w:before="0" w:after="0" w:line="620" w:lineRule="atLeast"/>
        <w:ind w:left="0" w:right="0" w:firstLine="620"/>
        <w:jc w:val="both"/>
        <w:textAlignment w:val="baseline"/>
      </w:pPr>
      <w:r>
        <w:rPr>
          <w:rFonts w:ascii="仿宋" w:hAnsi="仿宋" w:eastAsia="仿宋" w:cs="仿宋"/>
          <w:b w:val="0"/>
          <w:i w:val="0"/>
          <w:color w:val="000000"/>
          <w:spacing w:val="0"/>
          <w:sz w:val="29"/>
        </w:rPr>
        <w:t>承储企业应诚信经营，具有良好的社会信誉度，无欺诈、违规经营及偷漏税款等情况；在司法部门、行政执法机构三年内应无违法记录；承储企业应对储备活畜的数量完整、质量合格和储存安全承担管理责任。接受有关政府管理部门、业务管理部门及公检机构的监督检查。</w:t>
      </w:r>
    </w:p>
    <w:sectPr>
      <w:headerReference r:id="rId7" w:type="default"/>
      <w:footerReference r:id="rId8" w:type="default"/>
      <w:pgSz w:w="11900" w:h="16820"/>
      <w:pgMar w:top="1420" w:right="1520" w:bottom="1420" w:left="1520" w:header="0" w:footer="11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URW Bookman"/>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B+fc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LwH59zIAgAA7AUAAA4AAAAAAAAAAQAgAAAANQ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lang w:val="e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36674E97"/>
    <w:rsid w:val="4DCDDE6C"/>
    <w:rsid w:val="6EFDAF0B"/>
    <w:rsid w:val="7FCEC277"/>
    <w:rsid w:val="7FEF57B1"/>
    <w:rsid w:val="B7976518"/>
    <w:rsid w:val="BFFF0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2025-07-29T00:50:00Z</dcterms:created>
  <dc:creator>Apache POI</dc:creator>
  <cp:lastModifiedBy>greatwall</cp:lastModifiedBy>
  <dcterms:modified xsi:type="dcterms:W3CDTF">2025-08-04T09:46:11Z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